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0" w:rsidRDefault="0084485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44850" w:rsidRDefault="0084485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4485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44850" w:rsidRDefault="00844850">
            <w:pPr>
              <w:pStyle w:val="ConsPlusNormal"/>
              <w:outlineLvl w:val="0"/>
            </w:pPr>
            <w:r>
              <w:t>6 июня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44850" w:rsidRDefault="00844850">
            <w:pPr>
              <w:pStyle w:val="ConsPlusNormal"/>
              <w:jc w:val="right"/>
              <w:outlineLvl w:val="0"/>
            </w:pPr>
            <w:r>
              <w:t>N 44-оз</w:t>
            </w:r>
          </w:p>
        </w:tc>
      </w:tr>
    </w:tbl>
    <w:p w:rsidR="00844850" w:rsidRDefault="008448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4850" w:rsidRDefault="00844850">
      <w:pPr>
        <w:pStyle w:val="ConsPlusNormal"/>
        <w:jc w:val="both"/>
      </w:pPr>
    </w:p>
    <w:p w:rsidR="00844850" w:rsidRDefault="00844850">
      <w:pPr>
        <w:pStyle w:val="ConsPlusTitle"/>
        <w:jc w:val="center"/>
      </w:pPr>
      <w:r>
        <w:t>ЛЕНИНГРАДСКАЯ ОБЛАСТЬ</w:t>
      </w:r>
    </w:p>
    <w:p w:rsidR="00844850" w:rsidRDefault="00844850">
      <w:pPr>
        <w:pStyle w:val="ConsPlusTitle"/>
        <w:jc w:val="center"/>
      </w:pPr>
    </w:p>
    <w:p w:rsidR="00844850" w:rsidRDefault="00844850">
      <w:pPr>
        <w:pStyle w:val="ConsPlusTitle"/>
        <w:jc w:val="center"/>
      </w:pPr>
      <w:r>
        <w:t>ОБЛАСТНОЙ ЗАКОН</w:t>
      </w:r>
    </w:p>
    <w:p w:rsidR="00844850" w:rsidRDefault="00844850">
      <w:pPr>
        <w:pStyle w:val="ConsPlusTitle"/>
        <w:jc w:val="center"/>
      </w:pPr>
    </w:p>
    <w:p w:rsidR="00844850" w:rsidRDefault="00844850">
      <w:pPr>
        <w:pStyle w:val="ConsPlusTitle"/>
        <w:jc w:val="center"/>
      </w:pPr>
      <w:r>
        <w:t>ОБ ОТДЕЛЬНЫХ ВОПРОСАХ ПРОВЕДЕНИЯ ОЦЕНКИ РЕГУЛИРУЮЩЕГО</w:t>
      </w:r>
    </w:p>
    <w:p w:rsidR="00844850" w:rsidRDefault="00844850">
      <w:pPr>
        <w:pStyle w:val="ConsPlusTitle"/>
        <w:jc w:val="center"/>
      </w:pPr>
      <w:r>
        <w:t>ВОЗДЕЙСТВИЯ ПРОЕКТОВ МУНИЦИПАЛЬНЫХ НОРМАТИВНЫХ ПРАВОВЫХ</w:t>
      </w:r>
    </w:p>
    <w:p w:rsidR="00844850" w:rsidRDefault="00844850">
      <w:pPr>
        <w:pStyle w:val="ConsPlusTitle"/>
        <w:jc w:val="center"/>
      </w:pPr>
      <w:r>
        <w:t>АКТОВ И ЭКСПЕРТИЗЫ МУНИЦИПАЛЬНЫХ НОРМАТИВНЫХ ПРАВОВЫХ АКТОВ</w:t>
      </w:r>
    </w:p>
    <w:p w:rsidR="00844850" w:rsidRDefault="00844850">
      <w:pPr>
        <w:pStyle w:val="ConsPlusTitle"/>
        <w:jc w:val="center"/>
      </w:pPr>
      <w:r>
        <w:t>В ЛЕНИНГРАДСКОЙ ОБЛАСТИ</w:t>
      </w:r>
    </w:p>
    <w:p w:rsidR="00844850" w:rsidRDefault="00844850">
      <w:pPr>
        <w:pStyle w:val="ConsPlusNormal"/>
        <w:jc w:val="both"/>
      </w:pPr>
    </w:p>
    <w:p w:rsidR="00844850" w:rsidRDefault="00844850">
      <w:pPr>
        <w:pStyle w:val="ConsPlusNormal"/>
        <w:jc w:val="center"/>
      </w:pPr>
      <w:r>
        <w:t>(Принят Законодательным собранием Ленинградской области</w:t>
      </w:r>
    </w:p>
    <w:p w:rsidR="00844850" w:rsidRDefault="00844850">
      <w:pPr>
        <w:pStyle w:val="ConsPlusNormal"/>
        <w:jc w:val="center"/>
      </w:pPr>
      <w:r>
        <w:t>18 мая 2016 года)</w:t>
      </w:r>
    </w:p>
    <w:p w:rsidR="00844850" w:rsidRDefault="008448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48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850" w:rsidRDefault="008448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850" w:rsidRDefault="008448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4850" w:rsidRDefault="008448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4850" w:rsidRDefault="008448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Областных законов Ленинградской области от 12.02.2021 </w:t>
            </w:r>
            <w:hyperlink r:id="rId5">
              <w:r>
                <w:rPr>
                  <w:color w:val="0000FF"/>
                </w:rPr>
                <w:t>N 9-оз</w:t>
              </w:r>
            </w:hyperlink>
            <w:r>
              <w:rPr>
                <w:color w:val="392C69"/>
              </w:rPr>
              <w:t>,</w:t>
            </w:r>
          </w:p>
          <w:p w:rsidR="00844850" w:rsidRDefault="008448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02.12.2021 </w:t>
            </w:r>
            <w:hyperlink r:id="rId6">
              <w:r>
                <w:rPr>
                  <w:color w:val="0000FF"/>
                </w:rPr>
                <w:t>N 142-оз</w:t>
              </w:r>
            </w:hyperlink>
            <w:r>
              <w:rPr>
                <w:color w:val="392C69"/>
              </w:rPr>
              <w:t xml:space="preserve">, от 14.10.2024 </w:t>
            </w:r>
            <w:hyperlink r:id="rId7">
              <w:r>
                <w:rPr>
                  <w:color w:val="0000FF"/>
                </w:rPr>
                <w:t>N 123-оз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850" w:rsidRDefault="00844850">
            <w:pPr>
              <w:pStyle w:val="ConsPlusNormal"/>
            </w:pPr>
          </w:p>
        </w:tc>
      </w:tr>
    </w:tbl>
    <w:p w:rsidR="00844850" w:rsidRDefault="00844850">
      <w:pPr>
        <w:pStyle w:val="ConsPlusNormal"/>
        <w:jc w:val="both"/>
      </w:pPr>
    </w:p>
    <w:p w:rsidR="00844850" w:rsidRDefault="00844850">
      <w:pPr>
        <w:pStyle w:val="ConsPlusTitle"/>
        <w:ind w:firstLine="540"/>
        <w:jc w:val="both"/>
        <w:outlineLvl w:val="1"/>
      </w:pPr>
      <w:r>
        <w:t>Статья 1. Предмет регулирования настоящего областного закона</w:t>
      </w:r>
    </w:p>
    <w:p w:rsidR="00844850" w:rsidRDefault="00844850">
      <w:pPr>
        <w:pStyle w:val="ConsPlusNormal"/>
        <w:jc w:val="both"/>
      </w:pPr>
    </w:p>
    <w:p w:rsidR="00844850" w:rsidRDefault="00844850">
      <w:pPr>
        <w:pStyle w:val="ConsPlusNormal"/>
        <w:ind w:firstLine="540"/>
        <w:jc w:val="both"/>
      </w:pPr>
      <w:r>
        <w:t xml:space="preserve">Настоящий областной закон в соответствии со </w:t>
      </w:r>
      <w:hyperlink r:id="rId8">
        <w:r>
          <w:rPr>
            <w:color w:val="0000FF"/>
          </w:rPr>
          <w:t>статьями 7</w:t>
        </w:r>
      </w:hyperlink>
      <w:r>
        <w:t xml:space="preserve"> и </w:t>
      </w:r>
      <w:hyperlink r:id="rId9">
        <w:r>
          <w:rPr>
            <w:color w:val="0000FF"/>
          </w:rPr>
          <w:t>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регулирует отдельные вопросы осуществления органами местного самоуправления муниципальных образований Ленинградской области (далее - органы местного самоуправления):</w:t>
      </w:r>
    </w:p>
    <w:p w:rsidR="00844850" w:rsidRDefault="00844850">
      <w:pPr>
        <w:pStyle w:val="ConsPlusNormal"/>
        <w:jc w:val="both"/>
      </w:pPr>
      <w:r>
        <w:t xml:space="preserve">(в ред. Областного </w:t>
      </w:r>
      <w:hyperlink r:id="rId10">
        <w:r>
          <w:rPr>
            <w:color w:val="0000FF"/>
          </w:rPr>
          <w:t>закона</w:t>
        </w:r>
      </w:hyperlink>
      <w:r>
        <w:t xml:space="preserve"> Ленинградской области от 02.12.2021 N 142-оз)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1)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- оценка регулирующего воздействия проектов муниципальных актов);</w:t>
      </w:r>
    </w:p>
    <w:p w:rsidR="00844850" w:rsidRDefault="00844850">
      <w:pPr>
        <w:pStyle w:val="ConsPlusNormal"/>
        <w:jc w:val="both"/>
      </w:pPr>
      <w:r>
        <w:t xml:space="preserve">(в ред. Областного </w:t>
      </w:r>
      <w:hyperlink r:id="rId11">
        <w:r>
          <w:rPr>
            <w:color w:val="0000FF"/>
          </w:rPr>
          <w:t>закона</w:t>
        </w:r>
      </w:hyperlink>
      <w:r>
        <w:t xml:space="preserve"> Ленинградской области от 02.12.2021 N 142-оз)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2)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экспертиза муниципальных актов).</w:t>
      </w:r>
    </w:p>
    <w:p w:rsidR="00844850" w:rsidRDefault="00844850">
      <w:pPr>
        <w:pStyle w:val="ConsPlusNormal"/>
        <w:jc w:val="both"/>
      </w:pPr>
    </w:p>
    <w:p w:rsidR="00844850" w:rsidRDefault="00844850">
      <w:pPr>
        <w:pStyle w:val="ConsPlusTitle"/>
        <w:ind w:firstLine="540"/>
        <w:jc w:val="both"/>
        <w:outlineLvl w:val="1"/>
      </w:pPr>
      <w:r>
        <w:t>Статья 2. Оценка регулирующего воздействия проектов муниципальных актов</w:t>
      </w:r>
    </w:p>
    <w:p w:rsidR="00844850" w:rsidRDefault="00844850">
      <w:pPr>
        <w:pStyle w:val="ConsPlusNormal"/>
        <w:jc w:val="both"/>
      </w:pPr>
    </w:p>
    <w:p w:rsidR="00844850" w:rsidRDefault="00844850">
      <w:pPr>
        <w:pStyle w:val="ConsPlusNormal"/>
        <w:ind w:firstLine="540"/>
        <w:jc w:val="both"/>
      </w:pPr>
      <w:r>
        <w:t>1. Органы местного самоуправления проводят оценку регулирующего воздействия проектов муниципальных актов, за исключением:</w:t>
      </w:r>
    </w:p>
    <w:p w:rsidR="00844850" w:rsidRDefault="00844850">
      <w:pPr>
        <w:pStyle w:val="ConsPlusNormal"/>
        <w:jc w:val="both"/>
      </w:pPr>
      <w:r>
        <w:t xml:space="preserve">(в ред. Областного </w:t>
      </w:r>
      <w:hyperlink r:id="rId12">
        <w:r>
          <w:rPr>
            <w:color w:val="0000FF"/>
          </w:rPr>
          <w:t>закона</w:t>
        </w:r>
      </w:hyperlink>
      <w:r>
        <w:t xml:space="preserve"> Ленинградской области от 02.12.2021 N 142-оз)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проектов муниципальных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проектов муниципальных нормативных правовых актов представительных органов муниципальных образований, регулирующих бюджетные правоотношения;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lastRenderedPageBreak/>
        <w:t>проектов муниципальных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844850" w:rsidRDefault="00844850">
      <w:pPr>
        <w:pStyle w:val="ConsPlusNormal"/>
        <w:jc w:val="both"/>
      </w:pPr>
      <w:r>
        <w:t xml:space="preserve">(абзац введен Областным </w:t>
      </w:r>
      <w:hyperlink r:id="rId13">
        <w:r>
          <w:rPr>
            <w:color w:val="0000FF"/>
          </w:rPr>
          <w:t>законом</w:t>
        </w:r>
      </w:hyperlink>
      <w:r>
        <w:t xml:space="preserve"> Ленинградской области от 12.02.2021 N 9-оз)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2. Оценка регулирующего воздействия проектов муниципальных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местных бюджетов муниципальных образований Ленинградской области.</w:t>
      </w:r>
    </w:p>
    <w:p w:rsidR="00844850" w:rsidRDefault="00844850">
      <w:pPr>
        <w:pStyle w:val="ConsPlusNormal"/>
        <w:jc w:val="both"/>
      </w:pPr>
      <w:r>
        <w:t xml:space="preserve">(в ред. Областного </w:t>
      </w:r>
      <w:hyperlink r:id="rId14">
        <w:r>
          <w:rPr>
            <w:color w:val="0000FF"/>
          </w:rPr>
          <w:t>закона</w:t>
        </w:r>
      </w:hyperlink>
      <w:r>
        <w:t xml:space="preserve"> Ленинградской области от 02.12.2021 N 142-оз)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3. Оценка регулирующего воздействия проектов муниципальных актов проводится органами местного самоуправления в порядке, установленном муниципальными нормативными правовыми актами в соответствии с настоящим областным законом.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4. Порядок проведения оценки регулирующего воздействия проекта муниципального акта должен предусматривать, в том числе, следующие этапы: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размещение уведомления о публичном обсуждении проекта муниципального нормативного правового акта и пояснительной записки к нему, опросного листа на официальном сайте в информационно-телекоммуникационной сети "Интернет", определенном в муниципальном образовании для размещения сведений о проведении процедуры оценки регулирующего воздействия (далее - официальный сайт);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проведение публичного обсуждения проекта муниципального нормативного правового акта с заинтересованными лицами;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подготовку заключения об оценке регулирующего воздействия проекта муниципального акта (далее - заключение об оценке) и размещение его на официальном сайте;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механизм учета выводов, содержащихся в заключении об оценке.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5. Перечень и формы документов для проведения оценки регулирующего воздействия проекта муниципального акта утверждаются органами местного самоуправления.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Пояснительная записка к проекту муниципального нормативного правового акта должна содержать в том числе: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описание проблемы и цели предлагаемого правового регулирования;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 xml:space="preserve">сведения об установлении новых или изменении ранее предусмотренных муниципальными нормативными правовыми актами обязательных требований для субъектов предпринимательской и </w:t>
      </w:r>
      <w:proofErr w:type="gramStart"/>
      <w:r>
        <w:t>иной экономической деятельности</w:t>
      </w:r>
      <w:proofErr w:type="gramEnd"/>
      <w:r>
        <w:t xml:space="preserve"> и связанных с ними дополнительных расходах;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сведения о субъектах предпринимательской и иной экономической деятельности, субъектах инвестиционной деятельности, интересы которых затронуты предлагаемым правовым регулированием;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сведения об изменении полномочий органов местного самоуправления;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сведения об оценке дополнительных расходов (доходов) местного бюджета;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 xml:space="preserve">сведения об установлении новых или изменении ранее предусмотренных муниципальными нормативными правовыми актами обязанностей для субъектов инвестиционной деятельности и </w:t>
      </w:r>
      <w:r>
        <w:lastRenderedPageBreak/>
        <w:t>связанных с ними дополнительных расходах;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описание рассмотренных альтернативных вариантов предлагаемого правового регулирования;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обоснование выбора предпочтительного варианта предлагаемого правового регулирования выявленной проблемы.</w:t>
      </w:r>
    </w:p>
    <w:p w:rsidR="00844850" w:rsidRDefault="00844850">
      <w:pPr>
        <w:pStyle w:val="ConsPlusNormal"/>
        <w:jc w:val="both"/>
      </w:pPr>
      <w:r>
        <w:t xml:space="preserve">(часть 5 в ред. Областного </w:t>
      </w:r>
      <w:hyperlink r:id="rId15">
        <w:r>
          <w:rPr>
            <w:color w:val="0000FF"/>
          </w:rPr>
          <w:t>закона</w:t>
        </w:r>
      </w:hyperlink>
      <w:r>
        <w:t xml:space="preserve"> Ленинградской области от 02.12.2021 N 142-оз)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6. Заключение об оценке, прилагаемое к проекту муниципального нормативного правового акта, должно содержать выводы: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о соответствии проведения процедуры оценки регулирующего воздействия проекта муниципального акта требованиям порядка проведения оценки регулирующего воздействия проектов муниципальных актов, установленного в соответствии с настоящей статьей;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об отсутствии либо о наличии в проекте муниципального нормативного правового акта положений, которые: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вводят избыточные обязанности, запреты и ограничения для субъектов предпринимательской и иной экономической деятельности или способствуют их введению;</w:t>
      </w:r>
    </w:p>
    <w:p w:rsidR="00844850" w:rsidRDefault="00844850">
      <w:pPr>
        <w:pStyle w:val="ConsPlusNormal"/>
        <w:jc w:val="both"/>
      </w:pPr>
      <w:r>
        <w:t xml:space="preserve">(в ред. Областного </w:t>
      </w:r>
      <w:hyperlink r:id="rId16">
        <w:r>
          <w:rPr>
            <w:color w:val="0000FF"/>
          </w:rPr>
          <w:t>закона</w:t>
        </w:r>
      </w:hyperlink>
      <w:r>
        <w:t xml:space="preserve"> Ленинградской области от 02.12.2021 N 142-оз)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способствуют возникновению необоснованных расходов субъектов предпринимательской и иной экономической деятельности, местных бюджетов муниципальных образований Ленинградской области.</w:t>
      </w:r>
    </w:p>
    <w:p w:rsidR="00844850" w:rsidRDefault="00844850">
      <w:pPr>
        <w:pStyle w:val="ConsPlusNormal"/>
        <w:jc w:val="both"/>
      </w:pPr>
      <w:r>
        <w:t xml:space="preserve">(в ред. Областного </w:t>
      </w:r>
      <w:hyperlink r:id="rId17">
        <w:r>
          <w:rPr>
            <w:color w:val="0000FF"/>
          </w:rPr>
          <w:t>закона</w:t>
        </w:r>
      </w:hyperlink>
      <w:r>
        <w:t xml:space="preserve"> Ленинградской области от 02.12.2021 N 142-оз)</w:t>
      </w:r>
    </w:p>
    <w:p w:rsidR="00844850" w:rsidRDefault="00844850">
      <w:pPr>
        <w:pStyle w:val="ConsPlusNormal"/>
        <w:jc w:val="both"/>
      </w:pPr>
    </w:p>
    <w:p w:rsidR="00844850" w:rsidRDefault="00844850">
      <w:pPr>
        <w:pStyle w:val="ConsPlusTitle"/>
        <w:ind w:firstLine="540"/>
        <w:jc w:val="both"/>
        <w:outlineLvl w:val="1"/>
      </w:pPr>
      <w:r>
        <w:t>Статья 3. Экспертиза муниципальных актов</w:t>
      </w:r>
    </w:p>
    <w:p w:rsidR="00844850" w:rsidRDefault="00844850">
      <w:pPr>
        <w:pStyle w:val="ConsPlusNormal"/>
        <w:jc w:val="both"/>
      </w:pPr>
    </w:p>
    <w:p w:rsidR="00844850" w:rsidRDefault="00844850">
      <w:pPr>
        <w:pStyle w:val="ConsPlusNormal"/>
        <w:ind w:firstLine="540"/>
        <w:jc w:val="both"/>
      </w:pPr>
      <w:r>
        <w:t>1. Экспертиза муниципальных актов проводится органами местного самоуправления в порядке, установленном муниципальными нормативными правовыми актами в соответствии с настоящим областным законом.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2. Экспертиза муниципальных актов проводится в целях выявления положений, необоснованно затрудняющих осуществление предпринимательской и инвестиционной деятельности на территории муниципального образования Ленинградской области.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3. Порядок проведения экспертизы муниципального акта должен предусматривать в том числе: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размещение плана проведения экспертизы муниципальных актов на официальном сайте;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размещение уведомления о публичном обсуждении муниципального нормативного правового акта на официальном сайте;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проведение публичного обсуждения муниципального нормативного правового акта с заинтересованными лицами;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подготовку заключения об экспертизе муниципального акта (далее - заключение об экспертизе) и его размещение на официальном сайте;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механизм учета выводов, содержащихся в заключении об экспертизе.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 xml:space="preserve">4. В заключении об экспертизе должны содержаться выводы об отсутствии либо о наличии в муниципальном нормативном правовом акте положений, необоснованно затрудняющих </w:t>
      </w:r>
      <w:r>
        <w:lastRenderedPageBreak/>
        <w:t>осуществление предпринимательской и инвестиционной деятельности.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5. В случае выявления в муниципальном нормативном правовом акте положений, необоснованно затрудняющих осуществление предпринимательской и инвестиционной деятельности, заключение об экспертизе должно содержать предложения об отмене или изменении муниципального нормативного правового акта или его отдельных положений.</w:t>
      </w:r>
    </w:p>
    <w:p w:rsidR="00844850" w:rsidRDefault="00844850">
      <w:pPr>
        <w:pStyle w:val="ConsPlusNormal"/>
        <w:jc w:val="both"/>
      </w:pPr>
    </w:p>
    <w:p w:rsidR="00844850" w:rsidRDefault="00844850">
      <w:pPr>
        <w:pStyle w:val="ConsPlusTitle"/>
        <w:ind w:firstLine="540"/>
        <w:jc w:val="both"/>
        <w:outlineLvl w:val="1"/>
      </w:pPr>
      <w:r>
        <w:t>Статья 4. Муниципальные образования Ленинградской области, в которых проведение оценки регулирующего воздействия проектов муниципальных актов и экспертизы муниципальных актов является обязательным</w:t>
      </w:r>
    </w:p>
    <w:p w:rsidR="00844850" w:rsidRDefault="00844850">
      <w:pPr>
        <w:pStyle w:val="ConsPlusNormal"/>
        <w:jc w:val="both"/>
      </w:pPr>
    </w:p>
    <w:p w:rsidR="00844850" w:rsidRDefault="00844850">
      <w:pPr>
        <w:pStyle w:val="ConsPlusNormal"/>
        <w:ind w:firstLine="540"/>
        <w:jc w:val="both"/>
      </w:pPr>
      <w:bookmarkStart w:id="0" w:name="P77"/>
      <w:bookmarkEnd w:id="0"/>
      <w:r>
        <w:t xml:space="preserve">1. </w:t>
      </w:r>
      <w:hyperlink w:anchor="P107">
        <w:r>
          <w:rPr>
            <w:color w:val="0000FF"/>
          </w:rPr>
          <w:t>Перечень</w:t>
        </w:r>
      </w:hyperlink>
      <w:r>
        <w:t xml:space="preserve"> муниципальных районов, муниципального округа и городского округа Ленинградской области, в которых проведение оценки регулирующего воздействия проектов муниципальных актов и экспертизы муниципальных актов является обязательным, устанавливается приложением к настоящему областному закону.</w:t>
      </w:r>
    </w:p>
    <w:p w:rsidR="00844850" w:rsidRDefault="00844850">
      <w:pPr>
        <w:pStyle w:val="ConsPlusNormal"/>
        <w:jc w:val="both"/>
      </w:pPr>
      <w:r>
        <w:t xml:space="preserve">(в ред. Областного </w:t>
      </w:r>
      <w:hyperlink r:id="rId18">
        <w:r>
          <w:rPr>
            <w:color w:val="0000FF"/>
          </w:rPr>
          <w:t>закона</w:t>
        </w:r>
      </w:hyperlink>
      <w:r>
        <w:t xml:space="preserve"> Ленинградской области от 14.10.2024 N 123-оз)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 xml:space="preserve">2. Критериями включения муниципальных районов, муниципального округа и городского округа Ленинградской области в перечень, указанный в </w:t>
      </w:r>
      <w:hyperlink w:anchor="P77">
        <w:r>
          <w:rPr>
            <w:color w:val="0000FF"/>
          </w:rPr>
          <w:t>части 1</w:t>
        </w:r>
      </w:hyperlink>
      <w:r>
        <w:t xml:space="preserve"> настоящей статьи, являются:</w:t>
      </w:r>
    </w:p>
    <w:p w:rsidR="00844850" w:rsidRDefault="00844850">
      <w:pPr>
        <w:pStyle w:val="ConsPlusNormal"/>
        <w:jc w:val="both"/>
      </w:pPr>
      <w:r>
        <w:t xml:space="preserve">(в ред. Областного </w:t>
      </w:r>
      <w:hyperlink r:id="rId19">
        <w:r>
          <w:rPr>
            <w:color w:val="0000FF"/>
          </w:rPr>
          <w:t>закона</w:t>
        </w:r>
      </w:hyperlink>
      <w:r>
        <w:t xml:space="preserve"> Ленинградской области от 14.10.2024 N 123-оз)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равный объем государственных полномочий, переданных муниципальным районам, муниципальному округу и городскому округу в соответствии с действующим законодательством;</w:t>
      </w:r>
    </w:p>
    <w:p w:rsidR="00844850" w:rsidRDefault="00844850">
      <w:pPr>
        <w:pStyle w:val="ConsPlusNormal"/>
        <w:jc w:val="both"/>
      </w:pPr>
      <w:r>
        <w:t xml:space="preserve">(в ред. Областного </w:t>
      </w:r>
      <w:hyperlink r:id="rId20">
        <w:r>
          <w:rPr>
            <w:color w:val="0000FF"/>
          </w:rPr>
          <w:t>закона</w:t>
        </w:r>
      </w:hyperlink>
      <w:r>
        <w:t xml:space="preserve"> Ленинградской области от 14.10.2024 N 123-оз)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сосредоточенность не менее одной тысячи субъектов предпринимательской и иной экономической деятельности, субъектов инвестиционной деятельности на территории муниципального района, муниципального и городского округов Ленинградской области.</w:t>
      </w:r>
    </w:p>
    <w:p w:rsidR="00844850" w:rsidRDefault="00844850">
      <w:pPr>
        <w:pStyle w:val="ConsPlusNormal"/>
        <w:jc w:val="both"/>
      </w:pPr>
      <w:r>
        <w:t xml:space="preserve">(в ред. Областных законов Ленинградской области от 02.12.2021 </w:t>
      </w:r>
      <w:hyperlink r:id="rId21">
        <w:r>
          <w:rPr>
            <w:color w:val="0000FF"/>
          </w:rPr>
          <w:t>N 142-оз</w:t>
        </w:r>
      </w:hyperlink>
      <w:r>
        <w:t xml:space="preserve">, от 14.10.2024 </w:t>
      </w:r>
      <w:hyperlink r:id="rId22">
        <w:r>
          <w:rPr>
            <w:color w:val="0000FF"/>
          </w:rPr>
          <w:t>N 123-оз</w:t>
        </w:r>
      </w:hyperlink>
      <w:r>
        <w:t>)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 xml:space="preserve">3. Муниципальные нормативные правовые акты и проекты муниципальных нормативных правовых актов муниципальных образований, не включенных в перечень, указанный в </w:t>
      </w:r>
      <w:hyperlink w:anchor="P77">
        <w:r>
          <w:rPr>
            <w:color w:val="0000FF"/>
          </w:rPr>
          <w:t>части 1</w:t>
        </w:r>
      </w:hyperlink>
      <w:r>
        <w:t xml:space="preserve"> настоящей статьи, могут подлежать экспертизе муниципальных актов и оценке регулирующего воздействия проектов муниципальных актов,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настоящим областным законом.</w:t>
      </w:r>
    </w:p>
    <w:p w:rsidR="00844850" w:rsidRDefault="00844850">
      <w:pPr>
        <w:pStyle w:val="ConsPlusNormal"/>
        <w:jc w:val="both"/>
      </w:pPr>
    </w:p>
    <w:p w:rsidR="00844850" w:rsidRDefault="00844850">
      <w:pPr>
        <w:pStyle w:val="ConsPlusTitle"/>
        <w:ind w:firstLine="540"/>
        <w:jc w:val="both"/>
        <w:outlineLvl w:val="1"/>
      </w:pPr>
      <w:r>
        <w:t>Статья 5. Вступление в силу настоящего областного закона</w:t>
      </w:r>
    </w:p>
    <w:p w:rsidR="00844850" w:rsidRDefault="00844850">
      <w:pPr>
        <w:pStyle w:val="ConsPlusNormal"/>
        <w:jc w:val="both"/>
      </w:pPr>
    </w:p>
    <w:p w:rsidR="00844850" w:rsidRDefault="00844850">
      <w:pPr>
        <w:pStyle w:val="ConsPlusNormal"/>
        <w:ind w:firstLine="540"/>
        <w:jc w:val="both"/>
      </w:pPr>
      <w:r>
        <w:t>Настоящий областной закон вступает в силу по истечении 10 дней со дня его официального опубликования.</w:t>
      </w:r>
    </w:p>
    <w:p w:rsidR="00844850" w:rsidRDefault="00844850">
      <w:pPr>
        <w:pStyle w:val="ConsPlusNormal"/>
        <w:jc w:val="both"/>
      </w:pPr>
    </w:p>
    <w:p w:rsidR="00844850" w:rsidRDefault="00844850">
      <w:pPr>
        <w:pStyle w:val="ConsPlusNormal"/>
        <w:jc w:val="right"/>
      </w:pPr>
      <w:r>
        <w:t>Губернатор</w:t>
      </w:r>
    </w:p>
    <w:p w:rsidR="00844850" w:rsidRDefault="00844850">
      <w:pPr>
        <w:pStyle w:val="ConsPlusNormal"/>
        <w:jc w:val="right"/>
      </w:pPr>
      <w:r>
        <w:t>Ленинградской области</w:t>
      </w:r>
    </w:p>
    <w:p w:rsidR="00844850" w:rsidRDefault="00844850">
      <w:pPr>
        <w:pStyle w:val="ConsPlusNormal"/>
        <w:jc w:val="right"/>
      </w:pPr>
      <w:r>
        <w:t>А.Дрозденко</w:t>
      </w:r>
    </w:p>
    <w:p w:rsidR="00844850" w:rsidRDefault="00844850">
      <w:pPr>
        <w:pStyle w:val="ConsPlusNormal"/>
      </w:pPr>
      <w:r>
        <w:t>Санкт-Петербург</w:t>
      </w:r>
    </w:p>
    <w:p w:rsidR="00844850" w:rsidRDefault="00844850">
      <w:pPr>
        <w:pStyle w:val="ConsPlusNormal"/>
        <w:spacing w:before="220"/>
      </w:pPr>
      <w:r>
        <w:t>6 июня 2016 года</w:t>
      </w:r>
    </w:p>
    <w:p w:rsidR="00844850" w:rsidRDefault="00844850">
      <w:pPr>
        <w:pStyle w:val="ConsPlusNormal"/>
        <w:spacing w:before="220"/>
      </w:pPr>
      <w:r>
        <w:t>N 44-оз</w:t>
      </w:r>
    </w:p>
    <w:p w:rsidR="00844850" w:rsidRDefault="00844850">
      <w:pPr>
        <w:pStyle w:val="ConsPlusNormal"/>
        <w:jc w:val="both"/>
      </w:pPr>
    </w:p>
    <w:p w:rsidR="00844850" w:rsidRDefault="00844850">
      <w:pPr>
        <w:pStyle w:val="ConsPlusNormal"/>
        <w:jc w:val="both"/>
      </w:pPr>
    </w:p>
    <w:p w:rsidR="00844850" w:rsidRDefault="00844850">
      <w:pPr>
        <w:pStyle w:val="ConsPlusNormal"/>
        <w:jc w:val="both"/>
      </w:pPr>
    </w:p>
    <w:p w:rsidR="00844850" w:rsidRDefault="00844850">
      <w:pPr>
        <w:pStyle w:val="ConsPlusNormal"/>
        <w:jc w:val="both"/>
      </w:pPr>
    </w:p>
    <w:p w:rsidR="00844850" w:rsidRDefault="00844850">
      <w:pPr>
        <w:pStyle w:val="ConsPlusNormal"/>
        <w:jc w:val="both"/>
      </w:pPr>
    </w:p>
    <w:p w:rsidR="00844850" w:rsidRDefault="00844850">
      <w:pPr>
        <w:pStyle w:val="ConsPlusNormal"/>
        <w:jc w:val="right"/>
        <w:outlineLvl w:val="0"/>
      </w:pPr>
      <w:r>
        <w:lastRenderedPageBreak/>
        <w:t>УСТАНОВЛЕН</w:t>
      </w:r>
    </w:p>
    <w:p w:rsidR="00844850" w:rsidRDefault="00844850">
      <w:pPr>
        <w:pStyle w:val="ConsPlusNormal"/>
        <w:jc w:val="right"/>
      </w:pPr>
      <w:r>
        <w:t>областным законом</w:t>
      </w:r>
    </w:p>
    <w:p w:rsidR="00844850" w:rsidRDefault="00844850">
      <w:pPr>
        <w:pStyle w:val="ConsPlusNormal"/>
        <w:jc w:val="right"/>
      </w:pPr>
      <w:r>
        <w:t>от 06.06.2016 N 44-оз</w:t>
      </w:r>
    </w:p>
    <w:p w:rsidR="00844850" w:rsidRDefault="00844850">
      <w:pPr>
        <w:pStyle w:val="ConsPlusNormal"/>
        <w:jc w:val="right"/>
      </w:pPr>
      <w:r>
        <w:t>(приложение)</w:t>
      </w:r>
    </w:p>
    <w:p w:rsidR="00844850" w:rsidRDefault="00844850">
      <w:pPr>
        <w:pStyle w:val="ConsPlusNormal"/>
        <w:jc w:val="both"/>
      </w:pPr>
    </w:p>
    <w:p w:rsidR="00844850" w:rsidRDefault="00844850">
      <w:pPr>
        <w:pStyle w:val="ConsPlusTitle"/>
        <w:jc w:val="center"/>
      </w:pPr>
      <w:bookmarkStart w:id="1" w:name="P107"/>
      <w:bookmarkEnd w:id="1"/>
      <w:r>
        <w:t>ПЕРЕЧЕНЬ</w:t>
      </w:r>
    </w:p>
    <w:p w:rsidR="00844850" w:rsidRDefault="00844850">
      <w:pPr>
        <w:pStyle w:val="ConsPlusTitle"/>
        <w:jc w:val="center"/>
      </w:pPr>
      <w:r>
        <w:t>МУНИЦИПАЛЬНЫХ РАЙОНОВ, МУНИЦИПАЛЬНОГО ОКРУГА И ГОРОДСКОГО</w:t>
      </w:r>
    </w:p>
    <w:p w:rsidR="00844850" w:rsidRDefault="00844850">
      <w:pPr>
        <w:pStyle w:val="ConsPlusTitle"/>
        <w:jc w:val="center"/>
      </w:pPr>
      <w:r>
        <w:t>ОКРУГА ЛЕНИНГРАДСКОЙ ОБЛАСТИ, В КОТОРЫХ ПРОВЕДЕНИЕ ОЦЕНКИ</w:t>
      </w:r>
    </w:p>
    <w:p w:rsidR="00844850" w:rsidRDefault="00844850">
      <w:pPr>
        <w:pStyle w:val="ConsPlusTitle"/>
        <w:jc w:val="center"/>
      </w:pPr>
      <w:r>
        <w:t>РЕГУЛИРУЮЩЕГО ВОЗДЕЙСТВИЯ ПРОЕКТОВ МУНИЦИПАЛЬНЫХ АКТОВ</w:t>
      </w:r>
    </w:p>
    <w:p w:rsidR="00844850" w:rsidRDefault="00844850">
      <w:pPr>
        <w:pStyle w:val="ConsPlusTitle"/>
        <w:jc w:val="center"/>
      </w:pPr>
      <w:r>
        <w:t>И ЭКСПЕРТИЗЫ МУНИЦИПАЛЬНЫХ АКТОВ ЯВЛЯЕТСЯ ОБЯЗАТЕЛЬНЫМ</w:t>
      </w:r>
    </w:p>
    <w:p w:rsidR="00844850" w:rsidRDefault="008448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48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850" w:rsidRDefault="008448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850" w:rsidRDefault="008448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4850" w:rsidRDefault="008448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4850" w:rsidRDefault="008448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Областного </w:t>
            </w:r>
            <w:hyperlink r:id="rId23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Ленинградской области от 14.10.2024 N 123-оз)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850" w:rsidRDefault="00844850">
            <w:pPr>
              <w:pStyle w:val="ConsPlusNormal"/>
            </w:pPr>
          </w:p>
        </w:tc>
      </w:tr>
    </w:tbl>
    <w:p w:rsidR="00844850" w:rsidRDefault="00844850">
      <w:pPr>
        <w:pStyle w:val="ConsPlusNormal"/>
        <w:jc w:val="both"/>
      </w:pPr>
    </w:p>
    <w:p w:rsidR="00844850" w:rsidRDefault="00844850">
      <w:pPr>
        <w:pStyle w:val="ConsPlusNormal"/>
        <w:ind w:firstLine="540"/>
        <w:jc w:val="both"/>
      </w:pPr>
      <w:r>
        <w:t>Бокситогорский муниципальный район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Волосовский муниципальный район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Волховский муниципальный район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Всеволожский муниципальный район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Выборгский район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Гатчинский муниципальный округ</w:t>
      </w:r>
    </w:p>
    <w:p w:rsidR="00844850" w:rsidRDefault="00844850">
      <w:pPr>
        <w:pStyle w:val="ConsPlusNormal"/>
        <w:jc w:val="both"/>
      </w:pPr>
      <w:r>
        <w:t xml:space="preserve">(в ред. Областного </w:t>
      </w:r>
      <w:hyperlink r:id="rId24">
        <w:r>
          <w:rPr>
            <w:color w:val="0000FF"/>
          </w:rPr>
          <w:t>закона</w:t>
        </w:r>
      </w:hyperlink>
      <w:r>
        <w:t xml:space="preserve"> Ленинградской области от 14.10.2024 N 123-оз)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Кингисеппский муниципальный район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Киришский муниципальный район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Кировский муниципальный район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Лодейнопольский муниципальный район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Ломоносовский муниципальный район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Лужский муниципальный район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Подпорожский муниципальный район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Приозерский муниципальный район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Сланцевский муниципальный район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Сосновоборский городской округ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Тихвинский муниципальный район</w:t>
      </w:r>
    </w:p>
    <w:p w:rsidR="00844850" w:rsidRDefault="00844850">
      <w:pPr>
        <w:pStyle w:val="ConsPlusNormal"/>
        <w:spacing w:before="220"/>
        <w:ind w:firstLine="540"/>
        <w:jc w:val="both"/>
      </w:pPr>
      <w:r>
        <w:t>Тосненский район</w:t>
      </w:r>
    </w:p>
    <w:p w:rsidR="00844850" w:rsidRDefault="00844850">
      <w:pPr>
        <w:pStyle w:val="ConsPlusNormal"/>
        <w:jc w:val="both"/>
      </w:pPr>
    </w:p>
    <w:p w:rsidR="00844850" w:rsidRDefault="00844850">
      <w:pPr>
        <w:pStyle w:val="ConsPlusNormal"/>
        <w:jc w:val="both"/>
      </w:pPr>
    </w:p>
    <w:p w:rsidR="00844850" w:rsidRDefault="008448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32B8" w:rsidRDefault="008632B8">
      <w:bookmarkStart w:id="2" w:name="_GoBack"/>
      <w:bookmarkEnd w:id="2"/>
    </w:p>
    <w:sectPr w:rsidR="008632B8" w:rsidSect="00F7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50"/>
    <w:rsid w:val="00844850"/>
    <w:rsid w:val="0086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DA084-7BA6-4434-AF9F-28AB7B9B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4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8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501480&amp;dst=101298" TargetMode="External"/><Relationship Id="rId13" Type="http://schemas.openxmlformats.org/officeDocument/2006/relationships/hyperlink" Target="https://login.consultant.ru/link/?req=doc&amp;base=SPB&amp;n=237966&amp;dst=100008" TargetMode="External"/><Relationship Id="rId18" Type="http://schemas.openxmlformats.org/officeDocument/2006/relationships/hyperlink" Target="https://login.consultant.ru/link/?req=doc&amp;base=SPB&amp;n=299433&amp;dst=10001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SPB&amp;n=249579&amp;dst=100028" TargetMode="External"/><Relationship Id="rId7" Type="http://schemas.openxmlformats.org/officeDocument/2006/relationships/hyperlink" Target="https://login.consultant.ru/link/?req=doc&amp;base=SPB&amp;n=299433&amp;dst=100008" TargetMode="External"/><Relationship Id="rId12" Type="http://schemas.openxmlformats.org/officeDocument/2006/relationships/hyperlink" Target="https://login.consultant.ru/link/?req=doc&amp;base=SPB&amp;n=249579&amp;dst=100013" TargetMode="External"/><Relationship Id="rId17" Type="http://schemas.openxmlformats.org/officeDocument/2006/relationships/hyperlink" Target="https://login.consultant.ru/link/?req=doc&amp;base=SPB&amp;n=249579&amp;dst=100027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249579&amp;dst=100027" TargetMode="External"/><Relationship Id="rId20" Type="http://schemas.openxmlformats.org/officeDocument/2006/relationships/hyperlink" Target="https://login.consultant.ru/link/?req=doc&amp;base=SPB&amp;n=299433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49579&amp;dst=100008" TargetMode="External"/><Relationship Id="rId11" Type="http://schemas.openxmlformats.org/officeDocument/2006/relationships/hyperlink" Target="https://login.consultant.ru/link/?req=doc&amp;base=SPB&amp;n=249579&amp;dst=100011" TargetMode="External"/><Relationship Id="rId24" Type="http://schemas.openxmlformats.org/officeDocument/2006/relationships/hyperlink" Target="https://login.consultant.ru/link/?req=doc&amp;base=SPB&amp;n=299433&amp;dst=100017" TargetMode="External"/><Relationship Id="rId5" Type="http://schemas.openxmlformats.org/officeDocument/2006/relationships/hyperlink" Target="https://login.consultant.ru/link/?req=doc&amp;base=SPB&amp;n=237966&amp;dst=100008" TargetMode="External"/><Relationship Id="rId15" Type="http://schemas.openxmlformats.org/officeDocument/2006/relationships/hyperlink" Target="https://login.consultant.ru/link/?req=doc&amp;base=SPB&amp;n=249579&amp;dst=100016" TargetMode="External"/><Relationship Id="rId23" Type="http://schemas.openxmlformats.org/officeDocument/2006/relationships/hyperlink" Target="https://login.consultant.ru/link/?req=doc&amp;base=SPB&amp;n=299433&amp;dst=100015" TargetMode="External"/><Relationship Id="rId10" Type="http://schemas.openxmlformats.org/officeDocument/2006/relationships/hyperlink" Target="https://login.consultant.ru/link/?req=doc&amp;base=SPB&amp;n=249579&amp;dst=100010" TargetMode="External"/><Relationship Id="rId19" Type="http://schemas.openxmlformats.org/officeDocument/2006/relationships/hyperlink" Target="https://login.consultant.ru/link/?req=doc&amp;base=SPB&amp;n=299433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501480&amp;dst=101301" TargetMode="External"/><Relationship Id="rId14" Type="http://schemas.openxmlformats.org/officeDocument/2006/relationships/hyperlink" Target="https://login.consultant.ru/link/?req=doc&amp;base=SPB&amp;n=249579&amp;dst=100015" TargetMode="External"/><Relationship Id="rId22" Type="http://schemas.openxmlformats.org/officeDocument/2006/relationships/hyperlink" Target="https://login.consultant.ru/link/?req=doc&amp;base=SPB&amp;n=299433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1</cp:revision>
  <dcterms:created xsi:type="dcterms:W3CDTF">2025-08-27T11:19:00Z</dcterms:created>
  <dcterms:modified xsi:type="dcterms:W3CDTF">2025-08-27T11:19:00Z</dcterms:modified>
</cp:coreProperties>
</file>